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SG_VERSICHERUNGSGERICHT IV 2023/46 vom 25. Juli 2023</w:t>
      </w:r>
    </w:p>
    <w:p>
      <w:r>
        <w:t>Sg Versicherungsgericht, 2023-07-25, DE</w:t>
      </w:r>
    </w:p>
    <w:p>
      <w:r>
        <w:rPr>
          <w:b/>
        </w:rPr>
        <w:t xml:space="preserve">Quelle: </w:t>
      </w:r>
      <w:r>
        <w:t>https://mcp.opencaselaw.ch/entscheid/sg_publikationen_IV 2023_46</w:t>
      </w:r>
    </w:p>
    <w:p>
      <w:r>
        <w:t>FR: SG_VERSICHERUNGSGERICHT IV 2023/46 du 25 juillet 2023</w:t>
      </w:r>
    </w:p>
    <w:p>
      <w:r>
        <w:t>IT: SG_VERSICHERUNGSGERICHT IV 2023/46 del 25 luglio 2023</w:t>
      </w:r>
    </w:p>
    <w:p>
      <w:pPr>
        <w:pStyle w:val="Heading2"/>
      </w:pPr>
      <w:r>
        <w:t>Regeste</w:t>
      </w:r>
    </w:p>
    <w:p>
      <w:r>
        <w:t>Art. 42 ATSG. Art. 57a IVG. Rechtliches Gehör. Vorbescheidspflicht (Entscheid des Versicherungsgerichts des Kantons St. Gallen vom 25. Juli 2023, IV 2023/46).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Die Beschwerdegegnerin hat die Gerichtskosten von 600 Franken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